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4C506788">
                <wp:simplePos x="0" y="0"/>
                <wp:positionH relativeFrom="column">
                  <wp:posOffset>89210</wp:posOffset>
                </wp:positionH>
                <wp:positionV relativeFrom="page">
                  <wp:posOffset>245327</wp:posOffset>
                </wp:positionV>
                <wp:extent cx="5852160" cy="504902"/>
                <wp:effectExtent l="0" t="0" r="0" b="0"/>
                <wp:wrapNone/>
                <wp:docPr id="1633243681" name="Text Box 5" descr="Competency Assessment"/>
                <wp:cNvGraphicFramePr/>
                <a:graphic xmlns:a="http://schemas.openxmlformats.org/drawingml/2006/main">
                  <a:graphicData uri="http://schemas.microsoft.com/office/word/2010/wordprocessingShape">
                    <wps:wsp>
                      <wps:cNvSpPr txBox="1"/>
                      <wps:spPr>
                        <a:xfrm>
                          <a:off x="0" y="0"/>
                          <a:ext cx="5852160" cy="504902"/>
                        </a:xfrm>
                        <a:prstGeom prst="rect">
                          <a:avLst/>
                        </a:prstGeom>
                        <a:noFill/>
                        <a:ln w="6350">
                          <a:noFill/>
                        </a:ln>
                      </wps:spPr>
                      <wps:txbx>
                        <w:txbxContent>
                          <w:p w14:paraId="4DB4D4A5" w14:textId="79C933E7" w:rsidR="00FC6B0F" w:rsidRPr="00483A63" w:rsidRDefault="00483A63" w:rsidP="00483A63">
                            <w:pPr>
                              <w:pStyle w:val="Title"/>
                            </w:pPr>
                            <w:r>
                              <w:t>Competency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5" o:spid="_x0000_s1026" type="#_x0000_t202" alt="Competency Assessment" style="position:absolute;left:0;text-align:left;margin-left:7pt;margin-top:19.3pt;width:460.8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JhFwIAACw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2c3s8l4jiGOsVk+vc0nsUx2+ds6H74J0CQaJXVIS0KL&#10;HR596FNPKbGZgXWjVKJGGdKWdP55lqcfzhEsrgz2uMwardBtu2GBLVRH3MtBT7m3fN1g80fmwwtz&#10;yDHOi7oNz3hIBdgEBouSGtyvv93HfIQeo5S0qJmS+p975gQl6rtBUm7H02kUWXKmsy8TdNx1ZHsd&#10;MXt9DyjLMb4Qy5MZ84M6mdKBfkN5r2JXDDHDsXdJw8m8D72S8XlwsVqlJJSVZeHRbCyPpSOcEdrX&#10;7o05O+AfkLknOKmLFe9o6HN7Ilb7ALJJHEWAe1QH3FGSieXh+UTNX/sp6/LIl78BAAD//wMAUEsD&#10;BBQABgAIAAAAIQDZUGb25AAAAA4BAAAPAAAAZHJzL2Rvd25yZXYueG1sTI9BT8JAEIXvJv6HzZh4&#10;k21BSC3dElJDTIweQC7ett2hbezO1u4ClV/vcNLLZF6+zJv3stVoO3HCwbeOFMSTCARS5UxLtYL9&#10;x+YhAeGDJqM7R6jgBz2s8tubTKfGnWmLp12oBZuQT7WCJoQ+ldJXDVrtJ65HYnZwg9WB5VBLM+gz&#10;m9tOTqNoIa1uiT80useiweprd7QKXovNu96WU5tcuuLl7bDuv/efc6Xu78bnJY/1EkTAMfxdwLUD&#10;54ecg5XuSMaLjvUj9wkKZskCBPOn2ZyXkkGcxCDzTP6vkf8CAAD//wMAUEsBAi0AFAAGAAgAAAAh&#10;ALaDOJL+AAAA4QEAABMAAAAAAAAAAAAAAAAAAAAAAFtDb250ZW50X1R5cGVzXS54bWxQSwECLQAU&#10;AAYACAAAACEAOP0h/9YAAACUAQAACwAAAAAAAAAAAAAAAAAvAQAAX3JlbHMvLnJlbHNQSwECLQAU&#10;AAYACAAAACEAB6ciYRcCAAAsBAAADgAAAAAAAAAAAAAAAAAuAgAAZHJzL2Uyb0RvYy54bWxQSwEC&#10;LQAUAAYACAAAACEA2VBm9uQAAAAOAQAADwAAAAAAAAAAAAAAAABxBAAAZHJzL2Rvd25yZXYueG1s&#10;UEsFBgAAAAAEAAQA8wAAAIIFAAAAAA==&#10;" filled="f" stroked="f" strokeweight=".5pt">
                <v:textbox>
                  <w:txbxContent>
                    <w:p w14:paraId="4DB4D4A5" w14:textId="79C933E7" w:rsidR="00FC6B0F" w:rsidRPr="00483A63" w:rsidRDefault="00483A63" w:rsidP="00483A63">
                      <w:pPr>
                        <w:pStyle w:val="Title"/>
                      </w:pPr>
                      <w:r>
                        <w:t>Competency Assessment</w:t>
                      </w:r>
                    </w:p>
                  </w:txbxContent>
                </v:textbox>
                <w10:wrap anchory="page"/>
              </v:shape>
            </w:pict>
          </mc:Fallback>
        </mc:AlternateContent>
      </w:r>
    </w:p>
    <w:p w14:paraId="547D3229" w14:textId="7A6275CB" w:rsidR="006B4E5A" w:rsidRDefault="00057F2D" w:rsidP="00B14C70">
      <w:pPr>
        <w:pStyle w:val="TableParagraph"/>
      </w:pPr>
      <w:r>
        <w:tab/>
      </w:r>
    </w:p>
    <w:p w14:paraId="1EEB956F" w14:textId="6A76AD31" w:rsidR="00864C6D" w:rsidRDefault="00864C6D" w:rsidP="00A21756">
      <w:pPr>
        <w:pStyle w:val="emphasistext"/>
      </w:pPr>
      <w:r>
        <w:t>Use this form with each patient assessment until patient is deemed competent. Complete the form every month afterwards.</w:t>
      </w:r>
      <w:r w:rsidR="004C2FF5">
        <w:t xml:space="preserve"> Remember to document competency in patient’s chart.</w:t>
      </w:r>
    </w:p>
    <w:p w14:paraId="2C1DCA77" w14:textId="77777777" w:rsidR="00A21756" w:rsidRDefault="00A21756" w:rsidP="00A21756">
      <w:pPr>
        <w:pStyle w:val="emphasistext"/>
      </w:pPr>
    </w:p>
    <w:p w14:paraId="4ED082CA" w14:textId="7E78904D" w:rsidR="00864C6D" w:rsidRDefault="00864C6D" w:rsidP="00130561">
      <w:pPr>
        <w:pStyle w:val="BodyText"/>
        <w:tabs>
          <w:tab w:val="left" w:pos="7316"/>
        </w:tabs>
        <w:spacing w:line="360" w:lineRule="auto"/>
      </w:pPr>
      <w:r>
        <w:t>Date of Assessment:</w:t>
      </w:r>
      <w:r w:rsidR="00A21756">
        <w:t xml:space="preserve"> </w:t>
      </w:r>
      <w:r w:rsidR="00A21756" w:rsidRPr="00483A63">
        <w:rPr>
          <w:color w:val="2B579A"/>
          <w:u w:val="single"/>
          <w:shd w:val="clear" w:color="auto" w:fill="E6E6E6"/>
        </w:rPr>
        <w:fldChar w:fldCharType="begin">
          <w:ffData>
            <w:name w:val="Text1"/>
            <w:enabled/>
            <w:calcOnExit w:val="0"/>
            <w:textInput/>
          </w:ffData>
        </w:fldChar>
      </w:r>
      <w:r w:rsidR="00A21756" w:rsidRPr="00483A63">
        <w:rPr>
          <w:u w:val="single"/>
        </w:rPr>
        <w:instrText xml:space="preserve"> FORMTEXT </w:instrText>
      </w:r>
      <w:r w:rsidR="00A21756" w:rsidRPr="00483A63">
        <w:rPr>
          <w:color w:val="2B579A"/>
          <w:u w:val="single"/>
          <w:shd w:val="clear" w:color="auto" w:fill="E6E6E6"/>
        </w:rPr>
      </w:r>
      <w:r w:rsidR="00A21756" w:rsidRPr="00483A63">
        <w:rPr>
          <w:color w:val="2B579A"/>
          <w:u w:val="single"/>
          <w:shd w:val="clear" w:color="auto" w:fill="E6E6E6"/>
        </w:rPr>
        <w:fldChar w:fldCharType="separate"/>
      </w:r>
      <w:r w:rsidR="00A21756" w:rsidRPr="00483A63">
        <w:rPr>
          <w:noProof/>
          <w:u w:val="single"/>
        </w:rPr>
        <w:t> </w:t>
      </w:r>
      <w:r w:rsidR="00A21756" w:rsidRPr="00483A63">
        <w:rPr>
          <w:noProof/>
          <w:u w:val="single"/>
        </w:rPr>
        <w:t> </w:t>
      </w:r>
      <w:r w:rsidR="00A21756" w:rsidRPr="00483A63">
        <w:rPr>
          <w:noProof/>
          <w:u w:val="single"/>
        </w:rPr>
        <w:t> </w:t>
      </w:r>
      <w:r w:rsidR="00A21756" w:rsidRPr="00483A63">
        <w:rPr>
          <w:noProof/>
          <w:u w:val="single"/>
        </w:rPr>
        <w:t> </w:t>
      </w:r>
      <w:r w:rsidR="00A21756" w:rsidRPr="00483A63">
        <w:rPr>
          <w:noProof/>
          <w:u w:val="single"/>
        </w:rPr>
        <w:t> </w:t>
      </w:r>
      <w:r w:rsidR="00A21756" w:rsidRPr="00483A63">
        <w:rPr>
          <w:color w:val="2B579A"/>
          <w:u w:val="single"/>
          <w:shd w:val="clear" w:color="auto" w:fill="E6E6E6"/>
        </w:rPr>
        <w:fldChar w:fldCharType="end"/>
      </w:r>
      <w:r w:rsidR="00130561">
        <w:rPr>
          <w:color w:val="2B579A"/>
          <w:u w:val="single"/>
          <w:shd w:val="clear" w:color="auto" w:fill="E6E6E6"/>
        </w:rPr>
        <w:tab/>
      </w:r>
    </w:p>
    <w:p w14:paraId="2F2C5B57" w14:textId="67625830" w:rsidR="00864C6D" w:rsidRDefault="00864C6D" w:rsidP="00123812">
      <w:pPr>
        <w:pStyle w:val="BodyText"/>
        <w:spacing w:line="360" w:lineRule="auto"/>
      </w:pPr>
      <w:r>
        <w:t>Name</w:t>
      </w:r>
      <w:r w:rsidR="004C2FF5">
        <w:t>, DOB</w:t>
      </w:r>
      <w:r w:rsidR="00AC5FE5">
        <w:t>, and MRN</w:t>
      </w:r>
      <w:r>
        <w:t xml:space="preserve"> </w:t>
      </w:r>
      <w:r w:rsidR="00A21756">
        <w:t xml:space="preserve">of patient: </w:t>
      </w:r>
      <w:r w:rsidR="00A21756" w:rsidRPr="00483A63">
        <w:rPr>
          <w:color w:val="2B579A"/>
          <w:u w:val="single"/>
          <w:shd w:val="clear" w:color="auto" w:fill="E6E6E6"/>
        </w:rPr>
        <w:fldChar w:fldCharType="begin">
          <w:ffData>
            <w:name w:val="Text1"/>
            <w:enabled/>
            <w:calcOnExit w:val="0"/>
            <w:textInput/>
          </w:ffData>
        </w:fldChar>
      </w:r>
      <w:r w:rsidR="00A21756" w:rsidRPr="00483A63">
        <w:rPr>
          <w:u w:val="single"/>
        </w:rPr>
        <w:instrText xml:space="preserve"> FORMTEXT </w:instrText>
      </w:r>
      <w:r w:rsidR="00A21756" w:rsidRPr="00483A63">
        <w:rPr>
          <w:color w:val="2B579A"/>
          <w:u w:val="single"/>
          <w:shd w:val="clear" w:color="auto" w:fill="E6E6E6"/>
        </w:rPr>
      </w:r>
      <w:r w:rsidR="00A21756" w:rsidRPr="00483A63">
        <w:rPr>
          <w:color w:val="2B579A"/>
          <w:u w:val="single"/>
          <w:shd w:val="clear" w:color="auto" w:fill="E6E6E6"/>
        </w:rPr>
        <w:fldChar w:fldCharType="separate"/>
      </w:r>
      <w:r w:rsidR="00A21756" w:rsidRPr="00483A63">
        <w:rPr>
          <w:noProof/>
          <w:u w:val="single"/>
        </w:rPr>
        <w:t> </w:t>
      </w:r>
      <w:r w:rsidR="00A21756" w:rsidRPr="00483A63">
        <w:rPr>
          <w:noProof/>
          <w:u w:val="single"/>
        </w:rPr>
        <w:t> </w:t>
      </w:r>
      <w:r w:rsidR="00A21756" w:rsidRPr="00483A63">
        <w:rPr>
          <w:noProof/>
          <w:u w:val="single"/>
        </w:rPr>
        <w:t> </w:t>
      </w:r>
      <w:r w:rsidR="00A21756" w:rsidRPr="00483A63">
        <w:rPr>
          <w:noProof/>
          <w:u w:val="single"/>
        </w:rPr>
        <w:t> </w:t>
      </w:r>
      <w:r w:rsidR="00A21756" w:rsidRPr="00483A63">
        <w:rPr>
          <w:noProof/>
          <w:u w:val="single"/>
        </w:rPr>
        <w:t> </w:t>
      </w:r>
      <w:r w:rsidR="00A21756" w:rsidRPr="00483A63">
        <w:rPr>
          <w:color w:val="2B579A"/>
          <w:u w:val="single"/>
          <w:shd w:val="clear" w:color="auto" w:fill="E6E6E6"/>
        </w:rPr>
        <w:fldChar w:fldCharType="end"/>
      </w:r>
      <w:r w:rsidR="00F63B57">
        <w:tab/>
      </w:r>
      <w:r>
        <w:t>Person performing line care:</w:t>
      </w:r>
      <w:r w:rsidR="00483A63">
        <w:t xml:space="preserve"> </w:t>
      </w:r>
      <w:r w:rsidR="00483A63" w:rsidRPr="00483A63">
        <w:rPr>
          <w:color w:val="2B579A"/>
          <w:u w:val="single"/>
          <w:shd w:val="clear" w:color="auto" w:fill="E6E6E6"/>
        </w:rPr>
        <w:fldChar w:fldCharType="begin">
          <w:ffData>
            <w:name w:val="Text1"/>
            <w:enabled/>
            <w:calcOnExit w:val="0"/>
            <w:textInput/>
          </w:ffData>
        </w:fldChar>
      </w:r>
      <w:r w:rsidR="00483A63" w:rsidRPr="00483A63">
        <w:rPr>
          <w:u w:val="single"/>
        </w:rPr>
        <w:instrText xml:space="preserve"> FORMTEXT </w:instrText>
      </w:r>
      <w:r w:rsidR="00483A63" w:rsidRPr="00483A63">
        <w:rPr>
          <w:color w:val="2B579A"/>
          <w:u w:val="single"/>
          <w:shd w:val="clear" w:color="auto" w:fill="E6E6E6"/>
        </w:rPr>
      </w:r>
      <w:r w:rsidR="00483A63" w:rsidRPr="00483A63">
        <w:rPr>
          <w:color w:val="2B579A"/>
          <w:u w:val="single"/>
          <w:shd w:val="clear" w:color="auto" w:fill="E6E6E6"/>
        </w:rPr>
        <w:fldChar w:fldCharType="separate"/>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color w:val="2B579A"/>
          <w:u w:val="single"/>
          <w:shd w:val="clear" w:color="auto" w:fill="E6E6E6"/>
        </w:rPr>
        <w:fldChar w:fldCharType="end"/>
      </w:r>
    </w:p>
    <w:p w14:paraId="74F86219" w14:textId="38A560B0" w:rsidR="00864C6D" w:rsidRDefault="00864C6D" w:rsidP="00123812">
      <w:pPr>
        <w:pStyle w:val="BodyText"/>
        <w:spacing w:line="360" w:lineRule="auto"/>
      </w:pPr>
      <w:r>
        <w:t>Person completing form:</w:t>
      </w:r>
      <w:r w:rsidR="00483A63">
        <w:t xml:space="preserve"> </w:t>
      </w:r>
      <w:r w:rsidR="00483A63" w:rsidRPr="00483A63">
        <w:rPr>
          <w:color w:val="2B579A"/>
          <w:u w:val="single"/>
          <w:shd w:val="clear" w:color="auto" w:fill="E6E6E6"/>
        </w:rPr>
        <w:fldChar w:fldCharType="begin">
          <w:ffData>
            <w:name w:val="Text1"/>
            <w:enabled/>
            <w:calcOnExit w:val="0"/>
            <w:textInput/>
          </w:ffData>
        </w:fldChar>
      </w:r>
      <w:r w:rsidR="00483A63" w:rsidRPr="00483A63">
        <w:rPr>
          <w:u w:val="single"/>
        </w:rPr>
        <w:instrText xml:space="preserve"> FORMTEXT </w:instrText>
      </w:r>
      <w:r w:rsidR="00483A63" w:rsidRPr="00483A63">
        <w:rPr>
          <w:color w:val="2B579A"/>
          <w:u w:val="single"/>
          <w:shd w:val="clear" w:color="auto" w:fill="E6E6E6"/>
        </w:rPr>
      </w:r>
      <w:r w:rsidR="00483A63" w:rsidRPr="00483A63">
        <w:rPr>
          <w:color w:val="2B579A"/>
          <w:u w:val="single"/>
          <w:shd w:val="clear" w:color="auto" w:fill="E6E6E6"/>
        </w:rPr>
        <w:fldChar w:fldCharType="separate"/>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color w:val="2B579A"/>
          <w:u w:val="single"/>
          <w:shd w:val="clear" w:color="auto" w:fill="E6E6E6"/>
        </w:rPr>
        <w:fldChar w:fldCharType="end"/>
      </w:r>
      <w:r w:rsidR="00F63B57">
        <w:tab/>
      </w:r>
      <w:r w:rsidR="00F63B57">
        <w:tab/>
      </w:r>
      <w:r>
        <w:t>Date of initial line placement:</w:t>
      </w:r>
      <w:r w:rsidR="00483A63">
        <w:t xml:space="preserve"> </w:t>
      </w:r>
      <w:r w:rsidR="00483A63" w:rsidRPr="00483A63">
        <w:rPr>
          <w:color w:val="2B579A"/>
          <w:u w:val="single"/>
          <w:shd w:val="clear" w:color="auto" w:fill="E6E6E6"/>
        </w:rPr>
        <w:fldChar w:fldCharType="begin">
          <w:ffData>
            <w:name w:val="Text1"/>
            <w:enabled/>
            <w:calcOnExit w:val="0"/>
            <w:textInput/>
          </w:ffData>
        </w:fldChar>
      </w:r>
      <w:r w:rsidR="00483A63" w:rsidRPr="00483A63">
        <w:rPr>
          <w:u w:val="single"/>
        </w:rPr>
        <w:instrText xml:space="preserve"> FORMTEXT </w:instrText>
      </w:r>
      <w:r w:rsidR="00483A63" w:rsidRPr="00483A63">
        <w:rPr>
          <w:color w:val="2B579A"/>
          <w:u w:val="single"/>
          <w:shd w:val="clear" w:color="auto" w:fill="E6E6E6"/>
        </w:rPr>
      </w:r>
      <w:r w:rsidR="00483A63" w:rsidRPr="00483A63">
        <w:rPr>
          <w:color w:val="2B579A"/>
          <w:u w:val="single"/>
          <w:shd w:val="clear" w:color="auto" w:fill="E6E6E6"/>
        </w:rPr>
        <w:fldChar w:fldCharType="separate"/>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color w:val="2B579A"/>
          <w:u w:val="single"/>
          <w:shd w:val="clear" w:color="auto" w:fill="E6E6E6"/>
        </w:rPr>
        <w:fldChar w:fldCharType="end"/>
      </w:r>
    </w:p>
    <w:p w14:paraId="402E4B21" w14:textId="7211FE63" w:rsidR="00864C6D" w:rsidRDefault="00864C6D" w:rsidP="00123812">
      <w:pPr>
        <w:pStyle w:val="BodyText"/>
        <w:spacing w:line="360" w:lineRule="auto"/>
        <w:rPr>
          <w:u w:val="single"/>
        </w:rPr>
      </w:pPr>
      <w:r>
        <w:t>Date implanted port accessed:</w:t>
      </w:r>
      <w:r w:rsidR="00483A63">
        <w:t xml:space="preserve"> </w:t>
      </w:r>
      <w:r w:rsidR="00483A63" w:rsidRPr="00483A63">
        <w:rPr>
          <w:color w:val="2B579A"/>
          <w:u w:val="single"/>
          <w:shd w:val="clear" w:color="auto" w:fill="E6E6E6"/>
        </w:rPr>
        <w:fldChar w:fldCharType="begin">
          <w:ffData>
            <w:name w:val="Text1"/>
            <w:enabled/>
            <w:calcOnExit w:val="0"/>
            <w:textInput/>
          </w:ffData>
        </w:fldChar>
      </w:r>
      <w:r w:rsidR="00483A63" w:rsidRPr="00483A63">
        <w:rPr>
          <w:u w:val="single"/>
        </w:rPr>
        <w:instrText xml:space="preserve"> FORMTEXT </w:instrText>
      </w:r>
      <w:r w:rsidR="00483A63" w:rsidRPr="00483A63">
        <w:rPr>
          <w:color w:val="2B579A"/>
          <w:u w:val="single"/>
          <w:shd w:val="clear" w:color="auto" w:fill="E6E6E6"/>
        </w:rPr>
      </w:r>
      <w:r w:rsidR="00483A63" w:rsidRPr="00483A63">
        <w:rPr>
          <w:color w:val="2B579A"/>
          <w:u w:val="single"/>
          <w:shd w:val="clear" w:color="auto" w:fill="E6E6E6"/>
        </w:rPr>
        <w:fldChar w:fldCharType="separate"/>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color w:val="2B579A"/>
          <w:u w:val="single"/>
          <w:shd w:val="clear" w:color="auto" w:fill="E6E6E6"/>
        </w:rPr>
        <w:fldChar w:fldCharType="end"/>
      </w:r>
      <w:r w:rsidR="00F63B57">
        <w:tab/>
      </w:r>
      <w:r w:rsidR="00F63B57">
        <w:tab/>
      </w:r>
      <w:r>
        <w:t>Date dressing last changed:</w:t>
      </w:r>
      <w:r w:rsidR="00483A63">
        <w:t xml:space="preserve"> </w:t>
      </w:r>
      <w:r w:rsidR="00483A63" w:rsidRPr="00483A63">
        <w:rPr>
          <w:color w:val="2B579A"/>
          <w:u w:val="single"/>
          <w:shd w:val="clear" w:color="auto" w:fill="E6E6E6"/>
        </w:rPr>
        <w:fldChar w:fldCharType="begin">
          <w:ffData>
            <w:name w:val="Text1"/>
            <w:enabled/>
            <w:calcOnExit w:val="0"/>
            <w:textInput/>
          </w:ffData>
        </w:fldChar>
      </w:r>
      <w:r w:rsidR="00483A63" w:rsidRPr="00483A63">
        <w:rPr>
          <w:u w:val="single"/>
        </w:rPr>
        <w:instrText xml:space="preserve"> FORMTEXT </w:instrText>
      </w:r>
      <w:r w:rsidR="00483A63" w:rsidRPr="00483A63">
        <w:rPr>
          <w:color w:val="2B579A"/>
          <w:u w:val="single"/>
          <w:shd w:val="clear" w:color="auto" w:fill="E6E6E6"/>
        </w:rPr>
      </w:r>
      <w:r w:rsidR="00483A63" w:rsidRPr="00483A63">
        <w:rPr>
          <w:color w:val="2B579A"/>
          <w:u w:val="single"/>
          <w:shd w:val="clear" w:color="auto" w:fill="E6E6E6"/>
        </w:rPr>
        <w:fldChar w:fldCharType="separate"/>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color w:val="2B579A"/>
          <w:u w:val="single"/>
          <w:shd w:val="clear" w:color="auto" w:fill="E6E6E6"/>
        </w:rPr>
        <w:fldChar w:fldCharType="end"/>
      </w:r>
    </w:p>
    <w:p w14:paraId="4B0502BC" w14:textId="71B9E26F" w:rsidR="00864C6D" w:rsidRDefault="00864C6D" w:rsidP="00123812">
      <w:pPr>
        <w:pStyle w:val="BodyText"/>
        <w:spacing w:line="360" w:lineRule="auto"/>
        <w:rPr>
          <w:u w:val="single"/>
        </w:rPr>
      </w:pPr>
      <w:r>
        <w:t xml:space="preserve">Chlorhexidine in dressing: </w:t>
      </w:r>
      <w:r w:rsidR="00483A63" w:rsidRPr="00483A63">
        <w:rPr>
          <w:color w:val="2B579A"/>
          <w:u w:val="single"/>
          <w:shd w:val="clear" w:color="auto" w:fill="E6E6E6"/>
        </w:rPr>
        <w:fldChar w:fldCharType="begin">
          <w:ffData>
            <w:name w:val="Text1"/>
            <w:enabled/>
            <w:calcOnExit w:val="0"/>
            <w:textInput/>
          </w:ffData>
        </w:fldChar>
      </w:r>
      <w:r w:rsidR="00483A63" w:rsidRPr="00483A63">
        <w:rPr>
          <w:u w:val="single"/>
        </w:rPr>
        <w:instrText xml:space="preserve"> FORMTEXT </w:instrText>
      </w:r>
      <w:r w:rsidR="00483A63" w:rsidRPr="00483A63">
        <w:rPr>
          <w:color w:val="2B579A"/>
          <w:u w:val="single"/>
          <w:shd w:val="clear" w:color="auto" w:fill="E6E6E6"/>
        </w:rPr>
      </w:r>
      <w:r w:rsidR="00483A63" w:rsidRPr="00483A63">
        <w:rPr>
          <w:color w:val="2B579A"/>
          <w:u w:val="single"/>
          <w:shd w:val="clear" w:color="auto" w:fill="E6E6E6"/>
        </w:rPr>
        <w:fldChar w:fldCharType="separate"/>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color w:val="2B579A"/>
          <w:u w:val="single"/>
          <w:shd w:val="clear" w:color="auto" w:fill="E6E6E6"/>
        </w:rPr>
        <w:fldChar w:fldCharType="end"/>
      </w:r>
      <w:r>
        <w:t xml:space="preserve"> Impregnated sponge</w:t>
      </w:r>
      <w:r w:rsidR="00483A63">
        <w:t xml:space="preserve">: </w:t>
      </w:r>
      <w:r w:rsidR="00483A63" w:rsidRPr="00483A63">
        <w:rPr>
          <w:color w:val="2B579A"/>
          <w:u w:val="single"/>
          <w:shd w:val="clear" w:color="auto" w:fill="E6E6E6"/>
        </w:rPr>
        <w:fldChar w:fldCharType="begin">
          <w:ffData>
            <w:name w:val="Text1"/>
            <w:enabled/>
            <w:calcOnExit w:val="0"/>
            <w:textInput/>
          </w:ffData>
        </w:fldChar>
      </w:r>
      <w:r w:rsidR="00483A63" w:rsidRPr="00483A63">
        <w:rPr>
          <w:u w:val="single"/>
        </w:rPr>
        <w:instrText xml:space="preserve"> FORMTEXT </w:instrText>
      </w:r>
      <w:r w:rsidR="00483A63" w:rsidRPr="00483A63">
        <w:rPr>
          <w:color w:val="2B579A"/>
          <w:u w:val="single"/>
          <w:shd w:val="clear" w:color="auto" w:fill="E6E6E6"/>
        </w:rPr>
      </w:r>
      <w:r w:rsidR="00483A63" w:rsidRPr="00483A63">
        <w:rPr>
          <w:color w:val="2B579A"/>
          <w:u w:val="single"/>
          <w:shd w:val="clear" w:color="auto" w:fill="E6E6E6"/>
        </w:rPr>
        <w:fldChar w:fldCharType="separate"/>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color w:val="2B579A"/>
          <w:u w:val="single"/>
          <w:shd w:val="clear" w:color="auto" w:fill="E6E6E6"/>
        </w:rPr>
        <w:fldChar w:fldCharType="end"/>
      </w:r>
      <w:r w:rsidR="00483A63">
        <w:rPr>
          <w:u w:val="single"/>
        </w:rPr>
        <w:t xml:space="preserve"> </w:t>
      </w:r>
      <w:r>
        <w:t>Impregnated dressing</w:t>
      </w:r>
      <w:r w:rsidR="00483A63">
        <w:t xml:space="preserve">: </w:t>
      </w:r>
      <w:r w:rsidR="00483A63" w:rsidRPr="00483A63">
        <w:rPr>
          <w:color w:val="2B579A"/>
          <w:u w:val="single"/>
          <w:shd w:val="clear" w:color="auto" w:fill="E6E6E6"/>
        </w:rPr>
        <w:fldChar w:fldCharType="begin">
          <w:ffData>
            <w:name w:val="Text1"/>
            <w:enabled/>
            <w:calcOnExit w:val="0"/>
            <w:textInput/>
          </w:ffData>
        </w:fldChar>
      </w:r>
      <w:r w:rsidR="00483A63" w:rsidRPr="00483A63">
        <w:rPr>
          <w:u w:val="single"/>
        </w:rPr>
        <w:instrText xml:space="preserve"> FORMTEXT </w:instrText>
      </w:r>
      <w:r w:rsidR="00483A63" w:rsidRPr="00483A63">
        <w:rPr>
          <w:color w:val="2B579A"/>
          <w:u w:val="single"/>
          <w:shd w:val="clear" w:color="auto" w:fill="E6E6E6"/>
        </w:rPr>
      </w:r>
      <w:r w:rsidR="00483A63" w:rsidRPr="00483A63">
        <w:rPr>
          <w:color w:val="2B579A"/>
          <w:u w:val="single"/>
          <w:shd w:val="clear" w:color="auto" w:fill="E6E6E6"/>
        </w:rPr>
        <w:fldChar w:fldCharType="separate"/>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noProof/>
          <w:u w:val="single"/>
        </w:rPr>
        <w:t> </w:t>
      </w:r>
      <w:r w:rsidR="00483A63" w:rsidRPr="00483A63">
        <w:rPr>
          <w:color w:val="2B579A"/>
          <w:u w:val="single"/>
          <w:shd w:val="clear" w:color="auto" w:fill="E6E6E6"/>
        </w:rPr>
        <w:fldChar w:fldCharType="end"/>
      </w:r>
      <w:r w:rsidR="00AC5FE5">
        <w:rPr>
          <w:color w:val="2B579A"/>
          <w:u w:val="single"/>
          <w:shd w:val="clear" w:color="auto" w:fill="E6E6E6"/>
        </w:rPr>
        <w:t xml:space="preserve"> </w:t>
      </w:r>
    </w:p>
    <w:p w14:paraId="3D753478" w14:textId="77777777" w:rsidR="00483A63" w:rsidRDefault="00483A63" w:rsidP="00483A63">
      <w:pPr>
        <w:pStyle w:val="BodyText"/>
      </w:pPr>
    </w:p>
    <w:tbl>
      <w:tblPr>
        <w:tblStyle w:val="GridTable2-Accent1"/>
        <w:tblW w:w="10118" w:type="dxa"/>
        <w:tblLayout w:type="fixed"/>
        <w:tblLook w:val="04A0" w:firstRow="1" w:lastRow="0" w:firstColumn="1" w:lastColumn="0" w:noHBand="0" w:noVBand="1"/>
        <w:tblCaption w:val="Competency assessment process and performed status"/>
      </w:tblPr>
      <w:tblGrid>
        <w:gridCol w:w="4320"/>
        <w:gridCol w:w="1350"/>
        <w:gridCol w:w="1530"/>
        <w:gridCol w:w="1326"/>
        <w:gridCol w:w="1592"/>
      </w:tblGrid>
      <w:tr w:rsidR="00344BE4" w14:paraId="3B804645" w14:textId="77777777" w:rsidTr="005B3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shd w:val="clear" w:color="auto" w:fill="ACAFC5"/>
          </w:tcPr>
          <w:p w14:paraId="1A46C6A8" w14:textId="0112261D" w:rsidR="00864C6D" w:rsidRPr="00A21756" w:rsidRDefault="00864C6D" w:rsidP="00A21756">
            <w:pPr>
              <w:pStyle w:val="BodyText"/>
            </w:pPr>
            <w:r w:rsidRPr="00A21756">
              <w:t>Processes</w:t>
            </w:r>
          </w:p>
        </w:tc>
        <w:tc>
          <w:tcPr>
            <w:tcW w:w="1350" w:type="dxa"/>
            <w:shd w:val="clear" w:color="auto" w:fill="ACAFC5"/>
          </w:tcPr>
          <w:p w14:paraId="283FE523" w14:textId="26342237" w:rsidR="00864C6D" w:rsidRPr="00A21756" w:rsidRDefault="00864C6D" w:rsidP="00A21756">
            <w:pPr>
              <w:pStyle w:val="BodyText"/>
              <w:cnfStyle w:val="100000000000" w:firstRow="1" w:lastRow="0" w:firstColumn="0" w:lastColumn="0" w:oddVBand="0" w:evenVBand="0" w:oddHBand="0" w:evenHBand="0" w:firstRowFirstColumn="0" w:firstRowLastColumn="0" w:lastRowFirstColumn="0" w:lastRowLastColumn="0"/>
            </w:pPr>
            <w:r w:rsidRPr="00A21756">
              <w:t>Performed Adequately</w:t>
            </w:r>
          </w:p>
        </w:tc>
        <w:tc>
          <w:tcPr>
            <w:tcW w:w="1530" w:type="dxa"/>
            <w:shd w:val="clear" w:color="auto" w:fill="ACAFC5"/>
          </w:tcPr>
          <w:p w14:paraId="36463BD8" w14:textId="39115B6B" w:rsidR="00864C6D" w:rsidRPr="00A21756" w:rsidRDefault="00864C6D" w:rsidP="00A21756">
            <w:pPr>
              <w:pStyle w:val="BodyText"/>
              <w:cnfStyle w:val="100000000000" w:firstRow="1" w:lastRow="0" w:firstColumn="0" w:lastColumn="0" w:oddVBand="0" w:evenVBand="0" w:oddHBand="0" w:evenHBand="0" w:firstRowFirstColumn="0" w:firstRowLastColumn="0" w:lastRowFirstColumn="0" w:lastRowLastColumn="0"/>
            </w:pPr>
            <w:r w:rsidRPr="00A21756">
              <w:t>Performed Inadequately</w:t>
            </w:r>
          </w:p>
        </w:tc>
        <w:tc>
          <w:tcPr>
            <w:tcW w:w="0" w:type="dxa"/>
            <w:shd w:val="clear" w:color="auto" w:fill="ACAFC5"/>
          </w:tcPr>
          <w:p w14:paraId="3F7295ED" w14:textId="77777777" w:rsidR="00864C6D" w:rsidRPr="00A21756" w:rsidRDefault="00864C6D" w:rsidP="00A21756">
            <w:pPr>
              <w:pStyle w:val="BodyText"/>
              <w:cnfStyle w:val="100000000000" w:firstRow="1" w:lastRow="0" w:firstColumn="0" w:lastColumn="0" w:oddVBand="0" w:evenVBand="0" w:oddHBand="0" w:evenHBand="0" w:firstRowFirstColumn="0" w:firstRowLastColumn="0" w:lastRowFirstColumn="0" w:lastRowLastColumn="0"/>
            </w:pPr>
            <w:r w:rsidRPr="00A21756">
              <w:t>Not Performed</w:t>
            </w:r>
          </w:p>
        </w:tc>
        <w:tc>
          <w:tcPr>
            <w:tcW w:w="0" w:type="dxa"/>
            <w:shd w:val="clear" w:color="auto" w:fill="ACAFC5"/>
          </w:tcPr>
          <w:p w14:paraId="29EE7160" w14:textId="77777777" w:rsidR="00864C6D" w:rsidRPr="00A21756" w:rsidRDefault="00864C6D" w:rsidP="00A21756">
            <w:pPr>
              <w:pStyle w:val="BodyText"/>
              <w:cnfStyle w:val="100000000000" w:firstRow="1" w:lastRow="0" w:firstColumn="0" w:lastColumn="0" w:oddVBand="0" w:evenVBand="0" w:oddHBand="0" w:evenHBand="0" w:firstRowFirstColumn="0" w:firstRowLastColumn="0" w:lastRowFirstColumn="0" w:lastRowLastColumn="0"/>
            </w:pPr>
            <w:r w:rsidRPr="00A21756">
              <w:t>Comments</w:t>
            </w:r>
          </w:p>
        </w:tc>
      </w:tr>
      <w:tr w:rsidR="00FC378F" w14:paraId="399A43E2" w14:textId="77777777" w:rsidTr="005B3C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14:paraId="4314891A" w14:textId="69CB8DBE" w:rsidR="00FC378F" w:rsidRPr="005B3CE0" w:rsidRDefault="00FC378F" w:rsidP="00FC378F">
            <w:pPr>
              <w:rPr>
                <w:b w:val="0"/>
                <w:bCs w:val="0"/>
                <w:sz w:val="22"/>
                <w:szCs w:val="22"/>
              </w:rPr>
            </w:pPr>
            <w:r w:rsidRPr="005B3CE0">
              <w:rPr>
                <w:sz w:val="22"/>
                <w:szCs w:val="22"/>
              </w:rPr>
              <w:t>Hand hygiene</w:t>
            </w:r>
            <w:r>
              <w:rPr>
                <w:b w:val="0"/>
                <w:bCs w:val="0"/>
                <w:sz w:val="22"/>
                <w:szCs w:val="22"/>
              </w:rPr>
              <w:t>.</w:t>
            </w:r>
          </w:p>
        </w:tc>
        <w:tc>
          <w:tcPr>
            <w:tcW w:w="1350" w:type="dxa"/>
          </w:tcPr>
          <w:p w14:paraId="05DC8197" w14:textId="676FCBA6"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0" w:type="dxa"/>
          </w:tcPr>
          <w:p w14:paraId="77643AD8" w14:textId="46E481AF"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326" w:type="dxa"/>
          </w:tcPr>
          <w:p w14:paraId="5B326B20" w14:textId="4750035F"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592" w:type="dxa"/>
          </w:tcPr>
          <w:p w14:paraId="384491CD" w14:textId="639E2375" w:rsidR="00FC378F" w:rsidRPr="00A21756" w:rsidRDefault="00FC378F" w:rsidP="00FC378F">
            <w:pPr>
              <w:cnfStyle w:val="000000100000" w:firstRow="0" w:lastRow="0" w:firstColumn="0" w:lastColumn="0" w:oddVBand="0" w:evenVBand="0" w:oddHBand="1" w:evenHBand="0" w:firstRowFirstColumn="0" w:firstRowLastColumn="0" w:lastRowFirstColumn="0" w:lastRowLastColumn="0"/>
              <w:rPr>
                <w:u w:val="single"/>
              </w:rPr>
            </w:pPr>
          </w:p>
        </w:tc>
      </w:tr>
      <w:tr w:rsidR="00FC378F" w14:paraId="1E6EA0E3" w14:textId="77777777" w:rsidTr="005B3CE0">
        <w:trPr>
          <w:trHeight w:val="288"/>
        </w:trPr>
        <w:tc>
          <w:tcPr>
            <w:cnfStyle w:val="001000000000" w:firstRow="0" w:lastRow="0" w:firstColumn="1" w:lastColumn="0" w:oddVBand="0" w:evenVBand="0" w:oddHBand="0" w:evenHBand="0" w:firstRowFirstColumn="0" w:firstRowLastColumn="0" w:lastRowFirstColumn="0" w:lastRowLastColumn="0"/>
            <w:tcW w:w="4320" w:type="dxa"/>
          </w:tcPr>
          <w:p w14:paraId="6E2B09D8" w14:textId="4109936E" w:rsidR="00FC378F" w:rsidRPr="005B3CE0" w:rsidRDefault="00FC378F" w:rsidP="00FC378F">
            <w:pPr>
              <w:rPr>
                <w:b w:val="0"/>
                <w:bCs w:val="0"/>
                <w:sz w:val="22"/>
                <w:szCs w:val="22"/>
              </w:rPr>
            </w:pPr>
            <w:r w:rsidRPr="005B3CE0">
              <w:rPr>
                <w:sz w:val="22"/>
                <w:szCs w:val="22"/>
              </w:rPr>
              <w:t>Needleless connector decontamination</w:t>
            </w:r>
            <w:r>
              <w:rPr>
                <w:b w:val="0"/>
                <w:bCs w:val="0"/>
                <w:sz w:val="22"/>
                <w:szCs w:val="22"/>
              </w:rPr>
              <w:t>.</w:t>
            </w:r>
          </w:p>
        </w:tc>
        <w:tc>
          <w:tcPr>
            <w:tcW w:w="1350" w:type="dxa"/>
          </w:tcPr>
          <w:p w14:paraId="04258E05" w14:textId="41871398"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0" w:type="dxa"/>
          </w:tcPr>
          <w:p w14:paraId="2FC614AF" w14:textId="76077E77"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326" w:type="dxa"/>
          </w:tcPr>
          <w:p w14:paraId="5D144042" w14:textId="188B89AD"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592" w:type="dxa"/>
          </w:tcPr>
          <w:p w14:paraId="6CF21724" w14:textId="3C2D81CC" w:rsidR="00FC378F" w:rsidRPr="00A21756" w:rsidRDefault="00FC378F" w:rsidP="00FC378F">
            <w:pPr>
              <w:cnfStyle w:val="000000000000" w:firstRow="0" w:lastRow="0" w:firstColumn="0" w:lastColumn="0" w:oddVBand="0" w:evenVBand="0" w:oddHBand="0" w:evenHBand="0" w:firstRowFirstColumn="0" w:firstRowLastColumn="0" w:lastRowFirstColumn="0" w:lastRowLastColumn="0"/>
            </w:pPr>
          </w:p>
        </w:tc>
      </w:tr>
      <w:tr w:rsidR="00FC378F" w14:paraId="734FCE8E" w14:textId="77777777" w:rsidTr="005B3C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14:paraId="151EF205" w14:textId="2769C1E6" w:rsidR="00FC378F" w:rsidRPr="005B3CE0" w:rsidRDefault="00FC378F" w:rsidP="00FC378F">
            <w:pPr>
              <w:rPr>
                <w:b w:val="0"/>
                <w:bCs w:val="0"/>
                <w:sz w:val="22"/>
                <w:szCs w:val="22"/>
              </w:rPr>
            </w:pPr>
            <w:r w:rsidRPr="005B3CE0">
              <w:rPr>
                <w:sz w:val="22"/>
                <w:szCs w:val="22"/>
              </w:rPr>
              <w:t>Confirmed sterile dressing intact</w:t>
            </w:r>
            <w:r>
              <w:rPr>
                <w:b w:val="0"/>
                <w:bCs w:val="0"/>
                <w:sz w:val="22"/>
                <w:szCs w:val="22"/>
              </w:rPr>
              <w:t>.</w:t>
            </w:r>
          </w:p>
        </w:tc>
        <w:tc>
          <w:tcPr>
            <w:tcW w:w="1350" w:type="dxa"/>
          </w:tcPr>
          <w:p w14:paraId="5F375D37" w14:textId="46E91B46"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9FFF80C" w14:textId="77C81CAD"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326" w:type="dxa"/>
          </w:tcPr>
          <w:p w14:paraId="1BDBC1DF" w14:textId="53011E4B"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592" w:type="dxa"/>
          </w:tcPr>
          <w:p w14:paraId="58A955DC" w14:textId="6CF4106A" w:rsidR="00FC378F" w:rsidRPr="00A21756" w:rsidRDefault="00FC378F" w:rsidP="00FC378F">
            <w:pPr>
              <w:cnfStyle w:val="000000100000" w:firstRow="0" w:lastRow="0" w:firstColumn="0" w:lastColumn="0" w:oddVBand="0" w:evenVBand="0" w:oddHBand="1" w:evenHBand="0" w:firstRowFirstColumn="0" w:firstRowLastColumn="0" w:lastRowFirstColumn="0" w:lastRowLastColumn="0"/>
            </w:pPr>
          </w:p>
        </w:tc>
      </w:tr>
      <w:tr w:rsidR="00FC378F" w14:paraId="58DC3DF6" w14:textId="77777777" w:rsidTr="005B3CE0">
        <w:trPr>
          <w:trHeight w:val="288"/>
        </w:trPr>
        <w:tc>
          <w:tcPr>
            <w:cnfStyle w:val="001000000000" w:firstRow="0" w:lastRow="0" w:firstColumn="1" w:lastColumn="0" w:oddVBand="0" w:evenVBand="0" w:oddHBand="0" w:evenHBand="0" w:firstRowFirstColumn="0" w:firstRowLastColumn="0" w:lastRowFirstColumn="0" w:lastRowLastColumn="0"/>
            <w:tcW w:w="4320" w:type="dxa"/>
          </w:tcPr>
          <w:p w14:paraId="57B42488" w14:textId="1F404D5A" w:rsidR="00FC378F" w:rsidRPr="005B3CE0" w:rsidRDefault="00FC378F" w:rsidP="00FC378F">
            <w:pPr>
              <w:rPr>
                <w:b w:val="0"/>
                <w:bCs w:val="0"/>
                <w:sz w:val="22"/>
                <w:szCs w:val="22"/>
              </w:rPr>
            </w:pPr>
            <w:r w:rsidRPr="005B3CE0">
              <w:rPr>
                <w:sz w:val="22"/>
                <w:szCs w:val="22"/>
              </w:rPr>
              <w:t>Sterile dressing changed</w:t>
            </w:r>
            <w:r>
              <w:rPr>
                <w:b w:val="0"/>
                <w:bCs w:val="0"/>
                <w:sz w:val="22"/>
                <w:szCs w:val="22"/>
              </w:rPr>
              <w:t>.</w:t>
            </w:r>
          </w:p>
        </w:tc>
        <w:tc>
          <w:tcPr>
            <w:tcW w:w="1350" w:type="dxa"/>
          </w:tcPr>
          <w:p w14:paraId="34EA547E" w14:textId="08B53159"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0" w:type="dxa"/>
          </w:tcPr>
          <w:p w14:paraId="1CB82C82" w14:textId="2A32D4DC"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326" w:type="dxa"/>
          </w:tcPr>
          <w:p w14:paraId="60903CAF" w14:textId="7B1CD83B"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592" w:type="dxa"/>
          </w:tcPr>
          <w:p w14:paraId="1874EE07" w14:textId="1CA0473F" w:rsidR="00FC378F" w:rsidRPr="00A21756" w:rsidRDefault="00FC378F" w:rsidP="00FC378F">
            <w:pPr>
              <w:cnfStyle w:val="000000000000" w:firstRow="0" w:lastRow="0" w:firstColumn="0" w:lastColumn="0" w:oddVBand="0" w:evenVBand="0" w:oddHBand="0" w:evenHBand="0" w:firstRowFirstColumn="0" w:firstRowLastColumn="0" w:lastRowFirstColumn="0" w:lastRowLastColumn="0"/>
            </w:pPr>
          </w:p>
        </w:tc>
      </w:tr>
      <w:tr w:rsidR="00FC378F" w14:paraId="4868EF1B" w14:textId="77777777" w:rsidTr="005B3C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14:paraId="1441E1C8" w14:textId="00E44366" w:rsidR="00FC378F" w:rsidRPr="005B3CE0" w:rsidRDefault="00FC378F" w:rsidP="00FC378F">
            <w:pPr>
              <w:rPr>
                <w:b w:val="0"/>
                <w:bCs w:val="0"/>
                <w:sz w:val="22"/>
                <w:szCs w:val="22"/>
              </w:rPr>
            </w:pPr>
            <w:r w:rsidRPr="005B3CE0">
              <w:rPr>
                <w:sz w:val="22"/>
                <w:szCs w:val="22"/>
              </w:rPr>
              <w:t>Insertion site scrubbed with chlorhexidine</w:t>
            </w:r>
            <w:r>
              <w:rPr>
                <w:b w:val="0"/>
                <w:bCs w:val="0"/>
                <w:sz w:val="22"/>
                <w:szCs w:val="22"/>
              </w:rPr>
              <w:t>.</w:t>
            </w:r>
          </w:p>
        </w:tc>
        <w:tc>
          <w:tcPr>
            <w:tcW w:w="1350" w:type="dxa"/>
          </w:tcPr>
          <w:p w14:paraId="3E7F8036" w14:textId="67C274F6"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C666731" w14:textId="2A0DFEA6"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326" w:type="dxa"/>
          </w:tcPr>
          <w:p w14:paraId="3F9198E5" w14:textId="75EEF4C0"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592" w:type="dxa"/>
          </w:tcPr>
          <w:p w14:paraId="4FA357B7" w14:textId="6B3070C5" w:rsidR="00FC378F" w:rsidRPr="00A21756" w:rsidRDefault="00FC378F" w:rsidP="00FC378F">
            <w:pPr>
              <w:cnfStyle w:val="000000100000" w:firstRow="0" w:lastRow="0" w:firstColumn="0" w:lastColumn="0" w:oddVBand="0" w:evenVBand="0" w:oddHBand="1" w:evenHBand="0" w:firstRowFirstColumn="0" w:firstRowLastColumn="0" w:lastRowFirstColumn="0" w:lastRowLastColumn="0"/>
            </w:pPr>
          </w:p>
        </w:tc>
      </w:tr>
      <w:tr w:rsidR="00FC378F" w14:paraId="56F415E0" w14:textId="77777777" w:rsidTr="005B3CE0">
        <w:trPr>
          <w:trHeight w:val="288"/>
        </w:trPr>
        <w:tc>
          <w:tcPr>
            <w:cnfStyle w:val="001000000000" w:firstRow="0" w:lastRow="0" w:firstColumn="1" w:lastColumn="0" w:oddVBand="0" w:evenVBand="0" w:oddHBand="0" w:evenHBand="0" w:firstRowFirstColumn="0" w:firstRowLastColumn="0" w:lastRowFirstColumn="0" w:lastRowLastColumn="0"/>
            <w:tcW w:w="4320" w:type="dxa"/>
          </w:tcPr>
          <w:p w14:paraId="7CA9C0A9" w14:textId="0DB22379" w:rsidR="00FC378F" w:rsidRPr="005B3CE0" w:rsidRDefault="00FC378F" w:rsidP="00FC378F">
            <w:pPr>
              <w:rPr>
                <w:b w:val="0"/>
                <w:bCs w:val="0"/>
                <w:sz w:val="22"/>
                <w:szCs w:val="22"/>
              </w:rPr>
            </w:pPr>
            <w:r w:rsidRPr="005B3CE0">
              <w:rPr>
                <w:sz w:val="22"/>
                <w:szCs w:val="22"/>
              </w:rPr>
              <w:t>Appropriate use of chlorhexidine-containing dressing, patch, or alternative site care</w:t>
            </w:r>
            <w:r>
              <w:rPr>
                <w:b w:val="0"/>
                <w:bCs w:val="0"/>
                <w:sz w:val="22"/>
                <w:szCs w:val="22"/>
              </w:rPr>
              <w:t>.</w:t>
            </w:r>
          </w:p>
        </w:tc>
        <w:tc>
          <w:tcPr>
            <w:tcW w:w="1350" w:type="dxa"/>
          </w:tcPr>
          <w:p w14:paraId="17511C24" w14:textId="060793C8"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0" w:type="dxa"/>
          </w:tcPr>
          <w:p w14:paraId="1DB15797" w14:textId="6BBD0352"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326" w:type="dxa"/>
          </w:tcPr>
          <w:p w14:paraId="3779EC69" w14:textId="4D354C50"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592" w:type="dxa"/>
          </w:tcPr>
          <w:p w14:paraId="5B6F4698" w14:textId="10BD65B8" w:rsidR="00FC378F" w:rsidRPr="00A21756" w:rsidRDefault="00FC378F" w:rsidP="00FC378F">
            <w:pPr>
              <w:cnfStyle w:val="000000000000" w:firstRow="0" w:lastRow="0" w:firstColumn="0" w:lastColumn="0" w:oddVBand="0" w:evenVBand="0" w:oddHBand="0" w:evenHBand="0" w:firstRowFirstColumn="0" w:firstRowLastColumn="0" w:lastRowFirstColumn="0" w:lastRowLastColumn="0"/>
            </w:pPr>
          </w:p>
        </w:tc>
      </w:tr>
      <w:tr w:rsidR="00FC378F" w14:paraId="7D15BE94" w14:textId="77777777" w:rsidTr="005B3C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14:paraId="6CF8185A" w14:textId="1448DEFC" w:rsidR="00FC378F" w:rsidRPr="005B3CE0" w:rsidRDefault="00FC378F" w:rsidP="00FC378F">
            <w:pPr>
              <w:rPr>
                <w:b w:val="0"/>
                <w:bCs w:val="0"/>
                <w:sz w:val="22"/>
                <w:szCs w:val="22"/>
              </w:rPr>
            </w:pPr>
            <w:r w:rsidRPr="005B3CE0">
              <w:rPr>
                <w:sz w:val="22"/>
                <w:szCs w:val="22"/>
              </w:rPr>
              <w:t>Dressing kept dry during bathing</w:t>
            </w:r>
            <w:r>
              <w:rPr>
                <w:b w:val="0"/>
                <w:bCs w:val="0"/>
                <w:sz w:val="22"/>
                <w:szCs w:val="22"/>
              </w:rPr>
              <w:t>.</w:t>
            </w:r>
          </w:p>
        </w:tc>
        <w:tc>
          <w:tcPr>
            <w:tcW w:w="1350" w:type="dxa"/>
          </w:tcPr>
          <w:p w14:paraId="04CB16B5" w14:textId="6F92CE6C"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0" w:type="dxa"/>
          </w:tcPr>
          <w:p w14:paraId="7E32C157" w14:textId="6E05FD58"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326" w:type="dxa"/>
          </w:tcPr>
          <w:p w14:paraId="7C303185" w14:textId="76D4F966"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592" w:type="dxa"/>
          </w:tcPr>
          <w:p w14:paraId="5FE8B287" w14:textId="6370B590" w:rsidR="00FC378F" w:rsidRPr="00A21756" w:rsidRDefault="00FC378F" w:rsidP="00FC378F">
            <w:pPr>
              <w:cnfStyle w:val="000000100000" w:firstRow="0" w:lastRow="0" w:firstColumn="0" w:lastColumn="0" w:oddVBand="0" w:evenVBand="0" w:oddHBand="1" w:evenHBand="0" w:firstRowFirstColumn="0" w:firstRowLastColumn="0" w:lastRowFirstColumn="0" w:lastRowLastColumn="0"/>
            </w:pPr>
          </w:p>
        </w:tc>
      </w:tr>
      <w:tr w:rsidR="00FC378F" w14:paraId="7262FA6F" w14:textId="77777777" w:rsidTr="005B3CE0">
        <w:trPr>
          <w:trHeight w:val="288"/>
        </w:trPr>
        <w:tc>
          <w:tcPr>
            <w:cnfStyle w:val="001000000000" w:firstRow="0" w:lastRow="0" w:firstColumn="1" w:lastColumn="0" w:oddVBand="0" w:evenVBand="0" w:oddHBand="0" w:evenHBand="0" w:firstRowFirstColumn="0" w:firstRowLastColumn="0" w:lastRowFirstColumn="0" w:lastRowLastColumn="0"/>
            <w:tcW w:w="4320" w:type="dxa"/>
          </w:tcPr>
          <w:p w14:paraId="463D364A" w14:textId="4A9F2544" w:rsidR="00FC378F" w:rsidRPr="005B3CE0" w:rsidRDefault="00FC378F" w:rsidP="00FC378F">
            <w:pPr>
              <w:rPr>
                <w:b w:val="0"/>
                <w:bCs w:val="0"/>
                <w:sz w:val="22"/>
                <w:szCs w:val="22"/>
              </w:rPr>
            </w:pPr>
            <w:r w:rsidRPr="005B3CE0">
              <w:rPr>
                <w:sz w:val="22"/>
                <w:szCs w:val="22"/>
              </w:rPr>
              <w:t>Appropriate use of needleless connector</w:t>
            </w:r>
            <w:r>
              <w:rPr>
                <w:b w:val="0"/>
                <w:bCs w:val="0"/>
                <w:sz w:val="22"/>
                <w:szCs w:val="22"/>
              </w:rPr>
              <w:t>.</w:t>
            </w:r>
          </w:p>
        </w:tc>
        <w:tc>
          <w:tcPr>
            <w:tcW w:w="1350" w:type="dxa"/>
          </w:tcPr>
          <w:p w14:paraId="35589EE8" w14:textId="341C9569"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0" w:type="dxa"/>
          </w:tcPr>
          <w:p w14:paraId="23D504F2" w14:textId="479CA9CC"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326" w:type="dxa"/>
          </w:tcPr>
          <w:p w14:paraId="3E2B8983" w14:textId="602AC9FA"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592" w:type="dxa"/>
          </w:tcPr>
          <w:p w14:paraId="27473903" w14:textId="649377F9" w:rsidR="00FC378F" w:rsidRPr="00A21756" w:rsidRDefault="00FC378F" w:rsidP="00FC378F">
            <w:pPr>
              <w:cnfStyle w:val="000000000000" w:firstRow="0" w:lastRow="0" w:firstColumn="0" w:lastColumn="0" w:oddVBand="0" w:evenVBand="0" w:oddHBand="0" w:evenHBand="0" w:firstRowFirstColumn="0" w:firstRowLastColumn="0" w:lastRowFirstColumn="0" w:lastRowLastColumn="0"/>
            </w:pPr>
          </w:p>
        </w:tc>
      </w:tr>
      <w:tr w:rsidR="00FC378F" w14:paraId="6ADC37C7" w14:textId="77777777" w:rsidTr="005B3C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14:paraId="5A2E6610" w14:textId="566572A0" w:rsidR="00FC378F" w:rsidRPr="005B3CE0" w:rsidRDefault="00FC378F" w:rsidP="00FC378F">
            <w:pPr>
              <w:rPr>
                <w:b w:val="0"/>
                <w:bCs w:val="0"/>
                <w:sz w:val="22"/>
                <w:szCs w:val="22"/>
              </w:rPr>
            </w:pPr>
            <w:r w:rsidRPr="005B3CE0">
              <w:rPr>
                <w:sz w:val="22"/>
                <w:szCs w:val="22"/>
              </w:rPr>
              <w:t>Use of SAS(H) approach to arranging medication infusions</w:t>
            </w:r>
            <w:r>
              <w:rPr>
                <w:b w:val="0"/>
                <w:bCs w:val="0"/>
                <w:sz w:val="22"/>
                <w:szCs w:val="22"/>
              </w:rPr>
              <w:t>.</w:t>
            </w:r>
          </w:p>
        </w:tc>
        <w:tc>
          <w:tcPr>
            <w:tcW w:w="1350" w:type="dxa"/>
          </w:tcPr>
          <w:p w14:paraId="410E69D3" w14:textId="54CC6CC4"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0FEA0B6" w14:textId="41758BAC"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326" w:type="dxa"/>
          </w:tcPr>
          <w:p w14:paraId="236856E3" w14:textId="557C119C"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592" w:type="dxa"/>
          </w:tcPr>
          <w:p w14:paraId="74DA0419" w14:textId="13BC7C7E" w:rsidR="00FC378F" w:rsidRPr="00A21756" w:rsidRDefault="00FC378F" w:rsidP="00FC378F">
            <w:pPr>
              <w:cnfStyle w:val="000000100000" w:firstRow="0" w:lastRow="0" w:firstColumn="0" w:lastColumn="0" w:oddVBand="0" w:evenVBand="0" w:oddHBand="1" w:evenHBand="0" w:firstRowFirstColumn="0" w:firstRowLastColumn="0" w:lastRowFirstColumn="0" w:lastRowLastColumn="0"/>
            </w:pPr>
          </w:p>
        </w:tc>
      </w:tr>
      <w:tr w:rsidR="00FC378F" w14:paraId="7DD07DEA" w14:textId="77777777" w:rsidTr="005B3CE0">
        <w:trPr>
          <w:trHeight w:val="288"/>
        </w:trPr>
        <w:tc>
          <w:tcPr>
            <w:cnfStyle w:val="001000000000" w:firstRow="0" w:lastRow="0" w:firstColumn="1" w:lastColumn="0" w:oddVBand="0" w:evenVBand="0" w:oddHBand="0" w:evenHBand="0" w:firstRowFirstColumn="0" w:firstRowLastColumn="0" w:lastRowFirstColumn="0" w:lastRowLastColumn="0"/>
            <w:tcW w:w="4320" w:type="dxa"/>
          </w:tcPr>
          <w:p w14:paraId="1D54C182" w14:textId="0CEB4490" w:rsidR="00FC378F" w:rsidRPr="005B3CE0" w:rsidRDefault="00FC378F" w:rsidP="00FC378F">
            <w:pPr>
              <w:rPr>
                <w:b w:val="0"/>
                <w:bCs w:val="0"/>
                <w:sz w:val="22"/>
                <w:szCs w:val="22"/>
              </w:rPr>
            </w:pPr>
            <w:r w:rsidRPr="005B3CE0">
              <w:rPr>
                <w:sz w:val="22"/>
                <w:szCs w:val="22"/>
              </w:rPr>
              <w:t>Chlorhexidine decontamination protocol (if prescribed)</w:t>
            </w:r>
            <w:r>
              <w:rPr>
                <w:b w:val="0"/>
                <w:bCs w:val="0"/>
                <w:sz w:val="22"/>
                <w:szCs w:val="22"/>
              </w:rPr>
              <w:t>.</w:t>
            </w:r>
          </w:p>
        </w:tc>
        <w:tc>
          <w:tcPr>
            <w:tcW w:w="1350" w:type="dxa"/>
          </w:tcPr>
          <w:p w14:paraId="57906793" w14:textId="7A2A51EE"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9E259F4" w14:textId="449614F7"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326" w:type="dxa"/>
          </w:tcPr>
          <w:p w14:paraId="5BA1C087" w14:textId="4CAF2B29"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592" w:type="dxa"/>
          </w:tcPr>
          <w:p w14:paraId="6763E18B" w14:textId="77179F27" w:rsidR="00FC378F" w:rsidRPr="00A21756" w:rsidRDefault="00FC378F" w:rsidP="00FC378F">
            <w:pPr>
              <w:cnfStyle w:val="000000000000" w:firstRow="0" w:lastRow="0" w:firstColumn="0" w:lastColumn="0" w:oddVBand="0" w:evenVBand="0" w:oddHBand="0" w:evenHBand="0" w:firstRowFirstColumn="0" w:firstRowLastColumn="0" w:lastRowFirstColumn="0" w:lastRowLastColumn="0"/>
            </w:pPr>
          </w:p>
        </w:tc>
      </w:tr>
      <w:tr w:rsidR="00FC378F" w14:paraId="616D38B0" w14:textId="77777777" w:rsidTr="005B3C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14:paraId="427B73D7" w14:textId="38B1F306" w:rsidR="00FC378F" w:rsidRPr="005B3CE0" w:rsidRDefault="00FC378F" w:rsidP="00FC378F">
            <w:pPr>
              <w:rPr>
                <w:b w:val="0"/>
                <w:bCs w:val="0"/>
                <w:sz w:val="22"/>
                <w:szCs w:val="22"/>
              </w:rPr>
            </w:pPr>
            <w:r w:rsidRPr="005B3CE0">
              <w:rPr>
                <w:sz w:val="22"/>
                <w:szCs w:val="22"/>
              </w:rPr>
              <w:t>Appropriate use of antibiotic, ethanol, or sodium bicarbonate lock therapy (if prescribed)</w:t>
            </w:r>
            <w:r>
              <w:rPr>
                <w:b w:val="0"/>
                <w:bCs w:val="0"/>
                <w:sz w:val="22"/>
                <w:szCs w:val="22"/>
              </w:rPr>
              <w:t>.</w:t>
            </w:r>
          </w:p>
        </w:tc>
        <w:tc>
          <w:tcPr>
            <w:tcW w:w="1350" w:type="dxa"/>
          </w:tcPr>
          <w:p w14:paraId="1517E66F" w14:textId="2D7F03FF"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0EFF64E" w14:textId="7CC91F15"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326" w:type="dxa"/>
          </w:tcPr>
          <w:p w14:paraId="20C90134" w14:textId="4ABA537A"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592" w:type="dxa"/>
          </w:tcPr>
          <w:p w14:paraId="5A3FECD3" w14:textId="69214A0E" w:rsidR="00FC378F" w:rsidRPr="00A21756" w:rsidRDefault="00FC378F" w:rsidP="00FC378F">
            <w:pPr>
              <w:cnfStyle w:val="000000100000" w:firstRow="0" w:lastRow="0" w:firstColumn="0" w:lastColumn="0" w:oddVBand="0" w:evenVBand="0" w:oddHBand="1" w:evenHBand="0" w:firstRowFirstColumn="0" w:firstRowLastColumn="0" w:lastRowFirstColumn="0" w:lastRowLastColumn="0"/>
            </w:pPr>
          </w:p>
        </w:tc>
      </w:tr>
      <w:tr w:rsidR="00FC378F" w14:paraId="04267113" w14:textId="77777777" w:rsidTr="005B3CE0">
        <w:trPr>
          <w:trHeight w:val="288"/>
        </w:trPr>
        <w:tc>
          <w:tcPr>
            <w:cnfStyle w:val="001000000000" w:firstRow="0" w:lastRow="0" w:firstColumn="1" w:lastColumn="0" w:oddVBand="0" w:evenVBand="0" w:oddHBand="0" w:evenHBand="0" w:firstRowFirstColumn="0" w:firstRowLastColumn="0" w:lastRowFirstColumn="0" w:lastRowLastColumn="0"/>
            <w:tcW w:w="4320" w:type="dxa"/>
          </w:tcPr>
          <w:p w14:paraId="36249034" w14:textId="1DC4F530" w:rsidR="00FC378F" w:rsidRPr="005B3CE0" w:rsidRDefault="00FC378F" w:rsidP="00FC378F">
            <w:pPr>
              <w:rPr>
                <w:b w:val="0"/>
                <w:bCs w:val="0"/>
                <w:sz w:val="22"/>
                <w:szCs w:val="22"/>
              </w:rPr>
            </w:pPr>
            <w:r w:rsidRPr="005B3CE0">
              <w:rPr>
                <w:sz w:val="22"/>
                <w:szCs w:val="22"/>
              </w:rPr>
              <w:t>Appropriate use of antiseptic-containing hubs (if prescribed)</w:t>
            </w:r>
            <w:r>
              <w:rPr>
                <w:b w:val="0"/>
                <w:bCs w:val="0"/>
                <w:sz w:val="22"/>
                <w:szCs w:val="22"/>
              </w:rPr>
              <w:t>.</w:t>
            </w:r>
          </w:p>
        </w:tc>
        <w:tc>
          <w:tcPr>
            <w:tcW w:w="1350" w:type="dxa"/>
          </w:tcPr>
          <w:p w14:paraId="33BCF3AF" w14:textId="455A73D6"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0" w:type="dxa"/>
          </w:tcPr>
          <w:p w14:paraId="72DD3D6A" w14:textId="3A1AA09A"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326" w:type="dxa"/>
          </w:tcPr>
          <w:p w14:paraId="2C89F83B" w14:textId="2A9005D8"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592" w:type="dxa"/>
          </w:tcPr>
          <w:p w14:paraId="4404B87D" w14:textId="723CF766" w:rsidR="00FC378F" w:rsidRPr="00A21756" w:rsidRDefault="00FC378F" w:rsidP="00FC378F">
            <w:pPr>
              <w:cnfStyle w:val="000000000000" w:firstRow="0" w:lastRow="0" w:firstColumn="0" w:lastColumn="0" w:oddVBand="0" w:evenVBand="0" w:oddHBand="0" w:evenHBand="0" w:firstRowFirstColumn="0" w:firstRowLastColumn="0" w:lastRowFirstColumn="0" w:lastRowLastColumn="0"/>
            </w:pPr>
          </w:p>
        </w:tc>
      </w:tr>
      <w:tr w:rsidR="00FC378F" w14:paraId="13B9FB60" w14:textId="77777777" w:rsidTr="005B3C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14:paraId="51CC9B53" w14:textId="27FEFB45" w:rsidR="00FC378F" w:rsidRPr="005B3CE0" w:rsidRDefault="00FC378F" w:rsidP="00FC378F">
            <w:pPr>
              <w:rPr>
                <w:b w:val="0"/>
                <w:bCs w:val="0"/>
                <w:sz w:val="22"/>
                <w:szCs w:val="22"/>
              </w:rPr>
            </w:pPr>
            <w:r w:rsidRPr="005B3CE0">
              <w:rPr>
                <w:sz w:val="22"/>
                <w:szCs w:val="22"/>
              </w:rPr>
              <w:t>Initiates infusion appropriately</w:t>
            </w:r>
            <w:r>
              <w:rPr>
                <w:b w:val="0"/>
                <w:bCs w:val="0"/>
                <w:sz w:val="22"/>
                <w:szCs w:val="22"/>
              </w:rPr>
              <w:t>.</w:t>
            </w:r>
          </w:p>
        </w:tc>
        <w:tc>
          <w:tcPr>
            <w:tcW w:w="1350" w:type="dxa"/>
          </w:tcPr>
          <w:p w14:paraId="316FAC8D" w14:textId="0C85218E"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0" w:type="dxa"/>
          </w:tcPr>
          <w:p w14:paraId="243B5831" w14:textId="6A6509E4"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326" w:type="dxa"/>
          </w:tcPr>
          <w:p w14:paraId="13B327C5" w14:textId="413970B4"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592" w:type="dxa"/>
          </w:tcPr>
          <w:p w14:paraId="5B096D7B" w14:textId="53A5936A" w:rsidR="00FC378F" w:rsidRPr="00A21756" w:rsidRDefault="00FC378F" w:rsidP="00FC378F">
            <w:pPr>
              <w:cnfStyle w:val="000000100000" w:firstRow="0" w:lastRow="0" w:firstColumn="0" w:lastColumn="0" w:oddVBand="0" w:evenVBand="0" w:oddHBand="1" w:evenHBand="0" w:firstRowFirstColumn="0" w:firstRowLastColumn="0" w:lastRowFirstColumn="0" w:lastRowLastColumn="0"/>
            </w:pPr>
          </w:p>
        </w:tc>
      </w:tr>
      <w:tr w:rsidR="00FC378F" w14:paraId="71CBE3B1" w14:textId="77777777" w:rsidTr="005B3CE0">
        <w:trPr>
          <w:trHeight w:val="288"/>
        </w:trPr>
        <w:tc>
          <w:tcPr>
            <w:cnfStyle w:val="001000000000" w:firstRow="0" w:lastRow="0" w:firstColumn="1" w:lastColumn="0" w:oddVBand="0" w:evenVBand="0" w:oddHBand="0" w:evenHBand="0" w:firstRowFirstColumn="0" w:firstRowLastColumn="0" w:lastRowFirstColumn="0" w:lastRowLastColumn="0"/>
            <w:tcW w:w="4320" w:type="dxa"/>
          </w:tcPr>
          <w:p w14:paraId="60ED56BB" w14:textId="7BFA4ED2" w:rsidR="00FC378F" w:rsidRPr="005B3CE0" w:rsidRDefault="00FC378F" w:rsidP="00FC378F">
            <w:pPr>
              <w:rPr>
                <w:b w:val="0"/>
                <w:bCs w:val="0"/>
                <w:sz w:val="22"/>
                <w:szCs w:val="22"/>
              </w:rPr>
            </w:pPr>
            <w:r w:rsidRPr="005B3CE0">
              <w:rPr>
                <w:sz w:val="22"/>
                <w:szCs w:val="22"/>
              </w:rPr>
              <w:t>Completes infusion properly</w:t>
            </w:r>
            <w:r>
              <w:rPr>
                <w:b w:val="0"/>
                <w:bCs w:val="0"/>
                <w:sz w:val="22"/>
                <w:szCs w:val="22"/>
              </w:rPr>
              <w:t>.</w:t>
            </w:r>
          </w:p>
        </w:tc>
        <w:tc>
          <w:tcPr>
            <w:tcW w:w="1350" w:type="dxa"/>
          </w:tcPr>
          <w:p w14:paraId="0C25415E" w14:textId="7CF38F8C"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0" w:type="dxa"/>
          </w:tcPr>
          <w:p w14:paraId="0C49692D" w14:textId="26D6E692"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326" w:type="dxa"/>
          </w:tcPr>
          <w:p w14:paraId="77549566" w14:textId="1D583A7F"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592" w:type="dxa"/>
          </w:tcPr>
          <w:p w14:paraId="02F450C9" w14:textId="5CC8CA3D" w:rsidR="00FC378F" w:rsidRPr="00A21756" w:rsidRDefault="00FC378F" w:rsidP="00FC378F">
            <w:pPr>
              <w:cnfStyle w:val="000000000000" w:firstRow="0" w:lastRow="0" w:firstColumn="0" w:lastColumn="0" w:oddVBand="0" w:evenVBand="0" w:oddHBand="0" w:evenHBand="0" w:firstRowFirstColumn="0" w:firstRowLastColumn="0" w:lastRowFirstColumn="0" w:lastRowLastColumn="0"/>
            </w:pPr>
          </w:p>
        </w:tc>
      </w:tr>
      <w:tr w:rsidR="00FC378F" w14:paraId="350BA05E" w14:textId="77777777" w:rsidTr="005B3C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14:paraId="6D454ABB" w14:textId="4CAEB670" w:rsidR="00FC378F" w:rsidRPr="005B3CE0" w:rsidRDefault="00FC378F" w:rsidP="00FC378F">
            <w:pPr>
              <w:rPr>
                <w:b w:val="0"/>
                <w:bCs w:val="0"/>
                <w:sz w:val="22"/>
                <w:szCs w:val="22"/>
              </w:rPr>
            </w:pPr>
            <w:r w:rsidRPr="005B3CE0">
              <w:rPr>
                <w:sz w:val="22"/>
                <w:szCs w:val="22"/>
              </w:rPr>
              <w:t>Patient or caregiver can state signs and symptoms of catheter complications and can recite appropriate organization contacts for help</w:t>
            </w:r>
            <w:r>
              <w:rPr>
                <w:b w:val="0"/>
                <w:bCs w:val="0"/>
                <w:sz w:val="22"/>
                <w:szCs w:val="22"/>
              </w:rPr>
              <w:t>.</w:t>
            </w:r>
          </w:p>
        </w:tc>
        <w:tc>
          <w:tcPr>
            <w:tcW w:w="1350" w:type="dxa"/>
          </w:tcPr>
          <w:p w14:paraId="1650DAE0" w14:textId="46B8CE8B"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6E98F6E" w14:textId="3AD87B45"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326" w:type="dxa"/>
          </w:tcPr>
          <w:p w14:paraId="39303073" w14:textId="1DFDD891" w:rsidR="00FC378F" w:rsidRPr="00A21756" w:rsidRDefault="00FC378F" w:rsidP="00FC378F">
            <w:pPr>
              <w:jc w:val="center"/>
              <w:cnfStyle w:val="000000100000" w:firstRow="0" w:lastRow="0" w:firstColumn="0" w:lastColumn="0" w:oddVBand="0" w:evenVBand="0" w:oddHBand="1" w:evenHBand="0" w:firstRowFirstColumn="0" w:firstRowLastColumn="0" w:lastRowFirstColumn="0" w:lastRowLastColumn="0"/>
            </w:pPr>
          </w:p>
        </w:tc>
        <w:tc>
          <w:tcPr>
            <w:tcW w:w="1592" w:type="dxa"/>
          </w:tcPr>
          <w:p w14:paraId="08BF7C2E" w14:textId="2E69E5A1" w:rsidR="00FC378F" w:rsidRPr="00A21756" w:rsidRDefault="00FC378F" w:rsidP="00FC378F">
            <w:pPr>
              <w:cnfStyle w:val="000000100000" w:firstRow="0" w:lastRow="0" w:firstColumn="0" w:lastColumn="0" w:oddVBand="0" w:evenVBand="0" w:oddHBand="1" w:evenHBand="0" w:firstRowFirstColumn="0" w:firstRowLastColumn="0" w:lastRowFirstColumn="0" w:lastRowLastColumn="0"/>
            </w:pPr>
          </w:p>
        </w:tc>
      </w:tr>
      <w:tr w:rsidR="00FC378F" w14:paraId="663D3100" w14:textId="77777777" w:rsidTr="005B3CE0">
        <w:trPr>
          <w:trHeight w:val="288"/>
        </w:trPr>
        <w:tc>
          <w:tcPr>
            <w:cnfStyle w:val="001000000000" w:firstRow="0" w:lastRow="0" w:firstColumn="1" w:lastColumn="0" w:oddVBand="0" w:evenVBand="0" w:oddHBand="0" w:evenHBand="0" w:firstRowFirstColumn="0" w:firstRowLastColumn="0" w:lastRowFirstColumn="0" w:lastRowLastColumn="0"/>
            <w:tcW w:w="4320" w:type="dxa"/>
          </w:tcPr>
          <w:p w14:paraId="047CF50E" w14:textId="49427842" w:rsidR="00FC378F" w:rsidRPr="005B3CE0" w:rsidRDefault="00FC378F" w:rsidP="00FC378F">
            <w:pPr>
              <w:rPr>
                <w:b w:val="0"/>
                <w:bCs w:val="0"/>
                <w:sz w:val="22"/>
                <w:szCs w:val="22"/>
              </w:rPr>
            </w:pPr>
            <w:r w:rsidRPr="005B3CE0">
              <w:rPr>
                <w:sz w:val="22"/>
                <w:szCs w:val="22"/>
              </w:rPr>
              <w:t>Five “rights” of medication administration confirmed (right patient, right drug, right time, right dose, right route)</w:t>
            </w:r>
            <w:r>
              <w:rPr>
                <w:b w:val="0"/>
                <w:bCs w:val="0"/>
                <w:sz w:val="22"/>
                <w:szCs w:val="22"/>
              </w:rPr>
              <w:t>.</w:t>
            </w:r>
          </w:p>
        </w:tc>
        <w:tc>
          <w:tcPr>
            <w:tcW w:w="1350" w:type="dxa"/>
          </w:tcPr>
          <w:p w14:paraId="48D1BD74" w14:textId="691C00F1"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15DDACA" w14:textId="725D0207"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326" w:type="dxa"/>
          </w:tcPr>
          <w:p w14:paraId="789F5471" w14:textId="7523B6A2" w:rsidR="00FC378F" w:rsidRPr="00A21756" w:rsidRDefault="00FC378F" w:rsidP="00FC378F">
            <w:pPr>
              <w:jc w:val="center"/>
              <w:cnfStyle w:val="000000000000" w:firstRow="0" w:lastRow="0" w:firstColumn="0" w:lastColumn="0" w:oddVBand="0" w:evenVBand="0" w:oddHBand="0" w:evenHBand="0" w:firstRowFirstColumn="0" w:firstRowLastColumn="0" w:lastRowFirstColumn="0" w:lastRowLastColumn="0"/>
            </w:pPr>
          </w:p>
        </w:tc>
        <w:tc>
          <w:tcPr>
            <w:tcW w:w="1592" w:type="dxa"/>
          </w:tcPr>
          <w:p w14:paraId="137763D2" w14:textId="76225ADC" w:rsidR="00FC378F" w:rsidRPr="00A21756" w:rsidRDefault="00FC378F" w:rsidP="00FC378F">
            <w:pPr>
              <w:cnfStyle w:val="000000000000" w:firstRow="0" w:lastRow="0" w:firstColumn="0" w:lastColumn="0" w:oddVBand="0" w:evenVBand="0" w:oddHBand="0" w:evenHBand="0" w:firstRowFirstColumn="0" w:firstRowLastColumn="0" w:lastRowFirstColumn="0" w:lastRowLastColumn="0"/>
            </w:pPr>
          </w:p>
        </w:tc>
      </w:tr>
    </w:tbl>
    <w:p w14:paraId="5469A159" w14:textId="77777777" w:rsidR="00057F2D" w:rsidRDefault="00057F2D" w:rsidP="00B14C70">
      <w:pPr>
        <w:pStyle w:val="TableParagraph"/>
      </w:pPr>
    </w:p>
    <w:sectPr w:rsidR="00057F2D" w:rsidSect="0047309F">
      <w:headerReference w:type="default" r:id="rId8"/>
      <w:footerReference w:type="even" r:id="rId9"/>
      <w:footerReference w:type="default" r:id="rId10"/>
      <w:headerReference w:type="first" r:id="rId11"/>
      <w:footerReference w:type="first" r:id="rId12"/>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4973" w14:textId="77777777" w:rsidR="00D44B77" w:rsidRDefault="00D44B77" w:rsidP="009B626B">
      <w:r>
        <w:separator/>
      </w:r>
    </w:p>
  </w:endnote>
  <w:endnote w:type="continuationSeparator" w:id="0">
    <w:p w14:paraId="7BCA42B7" w14:textId="77777777" w:rsidR="00D44B77" w:rsidRDefault="00D44B77"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2" o:spid="_x0000_s1027"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qRQIAAHMEAAAOAAAAZHJzL2Uyb0RvYy54bWysVFtP2zAUfp+0/2D5fSRNy60iRR2IaRIC&#10;JDrx7Do2jRT7eLZLwn79PjttQWxP014cn4vP5fvOycXlYDr2onxoydZ8clRypqykprXPNf+xuvly&#10;xlmIwjaiI6tq/qoCv1x8/nTRu7mqaENdozxDEBvmvav5JkY3L4ogN8qIcEROWRg1eSMiRP9cNF70&#10;iG66oirLk6In3zhPUoUA7fVo5IscX2sl473WQUXW1Ry1xXz6fK7TWSwuxPzZC7dp5a4M8Q9VGNFa&#10;JD2EuhZRsK1v/whlWukpkI5HkkxBWrdS5R7QzaT80M3jRjiVewE4wR1gCv8vrLx7efCsbWp+Oj2r&#10;qvNJBcKsMKBqpYbIvtLAKs4aFSRQuya5NcpGpomi8gm93oU5gjw6hIkD3DEFe32AMoEyaG/SF+0y&#10;2MHD6wH7lERCOZuVs9MpUknYZuXJrMzkFG+vnQ/xmyLD0qXmHtxmyMXLbYioBK57l5TM0k3bdZnf&#10;zrK+5ifT4zI/OFjworN4mHoYa023OKyHXWNral7Rl6dxboKTNy2S34oQH4THoKAVDH+8x6E7QhLa&#10;3TjbkP/1N33yB3+wctZj8Goefm6FV5x13y2YPZ8ACkxqFmbHpxUE/96yfm+xW3NFmO0J1szJfE3+&#10;sdtftSfzhB1ZpqwwCSuRu+Yy+r1wFceFwJZJtVxmN0ynE/HWPjqZgidAE7ir4Ul4t2Mggrs72g+p&#10;mH8gYvQdqVhuI+k2s5QgHnHdIY/JzuTttjCtzns5e739Kxa/AQAA//8DAFBLAwQUAAYACAAAACEA&#10;ny36LuEAAAAKAQAADwAAAGRycy9kb3ducmV2LnhtbEyPwUrEMBCG74LvEEbwIrtpq61LbbrIgtBD&#10;L7uK4C3bxKZsM6lJtlvf3vGktxnm45/vr7aLHdmsfRgcCkjXCTCNnVMD9gLeXl9WG2AhSlRydKgF&#10;fOsA2/r6qpKlchfc6/kQe0YhGEopwMQ4lZyHzmgrw9pNGun26byVkVbfc+XlhcLtyLMkKbiVA9IH&#10;Iye9M7o7Hc5WwPzePKj9bKK/27VN0pzar8ePVojbm+X5CVjUS/yD4Vef1KEmp6M7owpsFLAqNhmh&#10;NKT3VIqIIstzYEcBeZoAryv+v0L9AwAA//8DAFBLAQItABQABgAIAAAAIQC2gziS/gAAAOEBAAAT&#10;AAAAAAAAAAAAAAAAAAAAAABbQ29udGVudF9UeXBlc10ueG1sUEsBAi0AFAAGAAgAAAAhADj9If/W&#10;AAAAlAEAAAsAAAAAAAAAAAAAAAAALwEAAF9yZWxzLy5yZWxzUEsBAi0AFAAGAAgAAAAhAOHPAapF&#10;AgAAcwQAAA4AAAAAAAAAAAAAAAAALgIAAGRycy9lMm9Eb2MueG1sUEsBAi0AFAAGAAgAAAAhAJ8t&#10;+i7hAAAACgEAAA8AAAAAAAAAAAAAAAAAnwQAAGRycy9kb3ducmV2LnhtbFBLBQYAAAAABAAEAPMA&#10;AACt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dec="http://schemas.microsoft.com/office/drawing/2017/decorative" xmlns:pic="http://schemas.openxmlformats.org/drawingml/2006/picture" xmlns:a14="http://schemas.microsoft.com/office/drawing/2010/main">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10F9B728" w:rsidR="00225BCD" w:rsidRPr="00097D3E" w:rsidRDefault="00097D3E">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21D65CE2" w14:textId="10F9B728" w:rsidR="00225BCD" w:rsidRPr="00097D3E" w:rsidRDefault="00097D3E">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dec="http://schemas.microsoft.com/office/drawing/2017/decorative" xmlns:pic="http://schemas.openxmlformats.org/drawingml/2006/picture" xmlns:a14="http://schemas.microsoft.com/office/drawing/2010/main">
          <w:pict>
            <v:rect id="Rectangle 1"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1486e" stroked="f" strokeweight="1pt" w14:anchorId="5050B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w:pict>
        </mc:Fallback>
      </mc:AlternateContent>
    </w:r>
    <w:r w:rsidR="002877C5">
      <w:rPr>
        <w:noProof/>
        <w:color w:val="2B579A"/>
        <w:shd w:val="clear" w:color="auto" w:fill="E6E6E6"/>
      </w:rPr>
      <w:drawing>
        <wp:anchor distT="0" distB="0" distL="114300" distR="114300" simplePos="0" relativeHeight="251664384" behindDoc="0" locked="0" layoutInCell="1" allowOverlap="1" wp14:anchorId="6F59296F" wp14:editId="56B05F03">
          <wp:simplePos x="0" y="0"/>
          <wp:positionH relativeFrom="column">
            <wp:posOffset>5106571</wp:posOffset>
          </wp:positionH>
          <wp:positionV relativeFrom="paragraph">
            <wp:posOffset>46697</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E058" w14:textId="77777777" w:rsidR="00D44B77" w:rsidRDefault="00D44B77" w:rsidP="009B626B">
      <w:r>
        <w:separator/>
      </w:r>
    </w:p>
  </w:footnote>
  <w:footnote w:type="continuationSeparator" w:id="0">
    <w:p w14:paraId="6B7FB76A" w14:textId="77777777" w:rsidR="00D44B77" w:rsidRDefault="00D44B77"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w16du="http://schemas.microsoft.com/office/word/2023/wordml/word16du">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0014573E"/>
    <w:lvl w:ilvl="0" w:tplc="6D8E4E9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97D3E"/>
    <w:rsid w:val="000B5537"/>
    <w:rsid w:val="000C2DB4"/>
    <w:rsid w:val="000C5D1E"/>
    <w:rsid w:val="00123812"/>
    <w:rsid w:val="00130561"/>
    <w:rsid w:val="0013309C"/>
    <w:rsid w:val="00213CA9"/>
    <w:rsid w:val="00225BCD"/>
    <w:rsid w:val="0023003C"/>
    <w:rsid w:val="002750E9"/>
    <w:rsid w:val="002877C5"/>
    <w:rsid w:val="002D3753"/>
    <w:rsid w:val="002E6941"/>
    <w:rsid w:val="00344BE4"/>
    <w:rsid w:val="00386505"/>
    <w:rsid w:val="003F0A90"/>
    <w:rsid w:val="00402BCF"/>
    <w:rsid w:val="0047309F"/>
    <w:rsid w:val="00483A63"/>
    <w:rsid w:val="004B3ACB"/>
    <w:rsid w:val="004C2FF5"/>
    <w:rsid w:val="00550624"/>
    <w:rsid w:val="00575968"/>
    <w:rsid w:val="005B1A78"/>
    <w:rsid w:val="005B3CE0"/>
    <w:rsid w:val="0060507B"/>
    <w:rsid w:val="006B06ED"/>
    <w:rsid w:val="006B4E5A"/>
    <w:rsid w:val="007F6355"/>
    <w:rsid w:val="00801BE8"/>
    <w:rsid w:val="00836F22"/>
    <w:rsid w:val="00864C6D"/>
    <w:rsid w:val="008B4A55"/>
    <w:rsid w:val="009602EE"/>
    <w:rsid w:val="00986642"/>
    <w:rsid w:val="00994A56"/>
    <w:rsid w:val="009B626B"/>
    <w:rsid w:val="009D3967"/>
    <w:rsid w:val="009E3E4F"/>
    <w:rsid w:val="00A21756"/>
    <w:rsid w:val="00A54A22"/>
    <w:rsid w:val="00AA4386"/>
    <w:rsid w:val="00AA498F"/>
    <w:rsid w:val="00AC5FE5"/>
    <w:rsid w:val="00B14C70"/>
    <w:rsid w:val="00B50E71"/>
    <w:rsid w:val="00B54CF7"/>
    <w:rsid w:val="00BB7226"/>
    <w:rsid w:val="00BD18FE"/>
    <w:rsid w:val="00C10A7C"/>
    <w:rsid w:val="00C74863"/>
    <w:rsid w:val="00C92DEE"/>
    <w:rsid w:val="00D001F3"/>
    <w:rsid w:val="00D44B77"/>
    <w:rsid w:val="00D465BC"/>
    <w:rsid w:val="00D66BB3"/>
    <w:rsid w:val="00D7790A"/>
    <w:rsid w:val="00E05BEC"/>
    <w:rsid w:val="00E1505E"/>
    <w:rsid w:val="00E3586D"/>
    <w:rsid w:val="00E43AF3"/>
    <w:rsid w:val="00E531F7"/>
    <w:rsid w:val="00E535BC"/>
    <w:rsid w:val="00ED2531"/>
    <w:rsid w:val="00ED6B7E"/>
    <w:rsid w:val="00F04792"/>
    <w:rsid w:val="00F63B57"/>
    <w:rsid w:val="00F96F73"/>
    <w:rsid w:val="00FA6389"/>
    <w:rsid w:val="00FC378F"/>
    <w:rsid w:val="00FC6B0F"/>
    <w:rsid w:val="4E1CC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386505"/>
    <w:rPr>
      <w:rFonts w:ascii="Arial" w:hAnsi="Arial"/>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table" w:styleId="TableGrid">
    <w:name w:val="Table Grid"/>
    <w:basedOn w:val="TableNormal"/>
    <w:uiPriority w:val="39"/>
    <w:rsid w:val="00864C6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A2175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3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5A672-38A1-D049-B063-8DA7F206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26</cp:revision>
  <dcterms:created xsi:type="dcterms:W3CDTF">2023-06-30T15:20:00Z</dcterms:created>
  <dcterms:modified xsi:type="dcterms:W3CDTF">2024-03-17T18:27:00Z</dcterms:modified>
</cp:coreProperties>
</file>